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5CBE0" w14:textId="77777777" w:rsidR="00AE6740" w:rsidRDefault="00AE6740" w:rsidP="00AE6740">
      <w:pPr>
        <w:pStyle w:val="NoSpacing"/>
        <w:rPr>
          <w:b/>
          <w:sz w:val="24"/>
        </w:rPr>
      </w:pPr>
    </w:p>
    <w:p w14:paraId="7C6F6C9B" w14:textId="0899C399" w:rsidR="004D115F" w:rsidRDefault="00AE6740" w:rsidP="00AE6740">
      <w:pPr>
        <w:pStyle w:val="NoSpacing"/>
        <w:rPr>
          <w:b/>
          <w:sz w:val="24"/>
        </w:rPr>
      </w:pPr>
      <w:r>
        <w:rPr>
          <w:noProof/>
        </w:rPr>
        <w:drawing>
          <wp:anchor distT="0" distB="0" distL="114300" distR="114300" simplePos="0" relativeHeight="251659264" behindDoc="1" locked="0" layoutInCell="1" allowOverlap="1" wp14:anchorId="17243681" wp14:editId="634BB852">
            <wp:simplePos x="0" y="0"/>
            <wp:positionH relativeFrom="margin">
              <wp:posOffset>125730</wp:posOffset>
            </wp:positionH>
            <wp:positionV relativeFrom="margin">
              <wp:posOffset>-53975</wp:posOffset>
            </wp:positionV>
            <wp:extent cx="5943600" cy="405130"/>
            <wp:effectExtent l="0" t="0" r="0" b="0"/>
            <wp:wrapTight wrapText="bothSides">
              <wp:wrapPolygon edited="0">
                <wp:start x="0" y="0"/>
                <wp:lineTo x="0" y="20313"/>
                <wp:lineTo x="21531" y="20313"/>
                <wp:lineTo x="21531" y="0"/>
                <wp:lineTo x="0" y="0"/>
              </wp:wrapPolygon>
            </wp:wrapTight>
            <wp:docPr id="2" name="Picture 2" descr="F:\QGA CLIENTS\UMR\Logos &amp; Letterhead\UMR_red_notaglin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QGA CLIENTS\UMR\Logos &amp; Letterhead\UMR_red_notagline.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405130"/>
                    </a:xfrm>
                    <a:prstGeom prst="rect">
                      <a:avLst/>
                    </a:prstGeom>
                    <a:noFill/>
                    <a:ln>
                      <a:noFill/>
                    </a:ln>
                  </pic:spPr>
                </pic:pic>
              </a:graphicData>
            </a:graphic>
          </wp:anchor>
        </w:drawing>
      </w:r>
      <w:r>
        <w:rPr>
          <w:b/>
          <w:sz w:val="24"/>
        </w:rPr>
        <w:tab/>
      </w:r>
      <w:r w:rsidR="004D115F">
        <w:rPr>
          <w:b/>
          <w:sz w:val="24"/>
        </w:rPr>
        <w:t xml:space="preserve"> </w:t>
      </w:r>
    </w:p>
    <w:p w14:paraId="59A66EDE" w14:textId="381C076F" w:rsidR="004D115F" w:rsidRDefault="00AE6740" w:rsidP="009757E3">
      <w:pPr>
        <w:pStyle w:val="NoSpacing"/>
        <w:ind w:right="-540"/>
        <w:rPr>
          <w:b/>
          <w:sz w:val="24"/>
        </w:rPr>
      </w:pPr>
      <w:r>
        <w:rPr>
          <w:b/>
          <w:sz w:val="24"/>
        </w:rPr>
        <w:tab/>
      </w:r>
      <w:r>
        <w:rPr>
          <w:b/>
          <w:sz w:val="24"/>
        </w:rPr>
        <w:tab/>
      </w:r>
      <w:r>
        <w:rPr>
          <w:b/>
          <w:sz w:val="24"/>
        </w:rPr>
        <w:tab/>
      </w:r>
      <w:r>
        <w:rPr>
          <w:b/>
          <w:sz w:val="24"/>
        </w:rPr>
        <w:tab/>
      </w:r>
      <w:r>
        <w:rPr>
          <w:b/>
          <w:sz w:val="24"/>
        </w:rPr>
        <w:tab/>
      </w:r>
      <w:r w:rsidR="009757E3">
        <w:rPr>
          <w:b/>
          <w:sz w:val="24"/>
        </w:rPr>
        <w:t xml:space="preserve"> </w:t>
      </w:r>
      <w:r>
        <w:rPr>
          <w:b/>
          <w:sz w:val="24"/>
        </w:rPr>
        <w:t xml:space="preserve"> </w:t>
      </w:r>
    </w:p>
    <w:p w14:paraId="14E57500" w14:textId="6EA97D87" w:rsidR="00B17E31" w:rsidRDefault="00B17E31" w:rsidP="00B17E31">
      <w:pPr>
        <w:pStyle w:val="NoSpacing"/>
        <w:jc w:val="center"/>
        <w:rPr>
          <w:b/>
          <w:caps/>
          <w:sz w:val="24"/>
        </w:rPr>
      </w:pPr>
      <w:r>
        <w:rPr>
          <w:b/>
          <w:caps/>
          <w:sz w:val="24"/>
        </w:rPr>
        <w:t xml:space="preserve">Recent NIH BUDGET GROWTH fueling economic growth: </w:t>
      </w:r>
    </w:p>
    <w:p w14:paraId="7D1B1F55" w14:textId="5881DCBE" w:rsidR="005F2BF5" w:rsidRPr="00B17E31" w:rsidRDefault="00B17E31" w:rsidP="00AB5674">
      <w:pPr>
        <w:pStyle w:val="NoSpacing"/>
        <w:jc w:val="center"/>
        <w:rPr>
          <w:b/>
          <w:caps/>
          <w:sz w:val="24"/>
        </w:rPr>
      </w:pPr>
      <w:r w:rsidRPr="00B17E31">
        <w:rPr>
          <w:b/>
          <w:caps/>
          <w:sz w:val="24"/>
        </w:rPr>
        <w:t xml:space="preserve">NIH </w:t>
      </w:r>
      <w:r w:rsidR="009C0ABF" w:rsidRPr="00B17E31">
        <w:rPr>
          <w:b/>
          <w:caps/>
          <w:sz w:val="24"/>
        </w:rPr>
        <w:t>Research Funding Drove</w:t>
      </w:r>
      <w:r w:rsidR="008E75AC" w:rsidRPr="00B17E31">
        <w:rPr>
          <w:b/>
          <w:caps/>
          <w:sz w:val="24"/>
        </w:rPr>
        <w:t xml:space="preserve"> Nearly $74 Billion in Economic Activity </w:t>
      </w:r>
    </w:p>
    <w:p w14:paraId="45640652" w14:textId="3F02A42B" w:rsidR="009C0ABF" w:rsidRPr="00B17E31" w:rsidRDefault="008E75AC" w:rsidP="00AB5674">
      <w:pPr>
        <w:pStyle w:val="NoSpacing"/>
        <w:jc w:val="center"/>
        <w:rPr>
          <w:b/>
          <w:caps/>
          <w:sz w:val="24"/>
        </w:rPr>
      </w:pPr>
      <w:r w:rsidRPr="00B17E31">
        <w:rPr>
          <w:b/>
          <w:caps/>
          <w:sz w:val="24"/>
        </w:rPr>
        <w:t xml:space="preserve">and Supported </w:t>
      </w:r>
      <w:r w:rsidR="005F2BF5" w:rsidRPr="00B17E31">
        <w:rPr>
          <w:b/>
          <w:caps/>
          <w:sz w:val="24"/>
        </w:rPr>
        <w:t>More Than 433,000 Jobs</w:t>
      </w:r>
      <w:r w:rsidR="009C0ABF" w:rsidRPr="00B17E31">
        <w:rPr>
          <w:b/>
          <w:caps/>
          <w:sz w:val="24"/>
        </w:rPr>
        <w:t xml:space="preserve"> </w:t>
      </w:r>
      <w:r w:rsidR="00B17E31">
        <w:rPr>
          <w:b/>
          <w:caps/>
          <w:sz w:val="24"/>
        </w:rPr>
        <w:t>in fy18</w:t>
      </w:r>
    </w:p>
    <w:p w14:paraId="666B70C7" w14:textId="77777777" w:rsidR="00B17E31" w:rsidRPr="009C0ABF" w:rsidRDefault="00B17E31" w:rsidP="00AB5674">
      <w:pPr>
        <w:pStyle w:val="NoSpacing"/>
        <w:jc w:val="center"/>
        <w:rPr>
          <w:b/>
          <w:sz w:val="24"/>
        </w:rPr>
      </w:pPr>
    </w:p>
    <w:p w14:paraId="618FBE30" w14:textId="04300974" w:rsidR="00AB5674" w:rsidRPr="006E0686" w:rsidRDefault="00AB5674" w:rsidP="00AB5674">
      <w:pPr>
        <w:pStyle w:val="NoSpacing"/>
        <w:jc w:val="center"/>
        <w:rPr>
          <w:b/>
          <w:i/>
          <w:sz w:val="24"/>
        </w:rPr>
      </w:pPr>
      <w:r w:rsidRPr="006E0686">
        <w:rPr>
          <w:b/>
          <w:i/>
          <w:sz w:val="24"/>
        </w:rPr>
        <w:t>New Data Shows Economic Impact of NIH Research</w:t>
      </w:r>
      <w:r w:rsidR="009757E3">
        <w:rPr>
          <w:b/>
          <w:i/>
          <w:sz w:val="24"/>
        </w:rPr>
        <w:t xml:space="preserve"> Funding</w:t>
      </w:r>
      <w:r w:rsidRPr="006E0686">
        <w:rPr>
          <w:b/>
          <w:i/>
          <w:sz w:val="24"/>
        </w:rPr>
        <w:t xml:space="preserve"> in 50 States + DC</w:t>
      </w:r>
    </w:p>
    <w:p w14:paraId="62802D26" w14:textId="77777777" w:rsidR="00AB5674" w:rsidRDefault="00AB5674">
      <w:pPr>
        <w:pStyle w:val="NoSpacing"/>
        <w:jc w:val="center"/>
        <w:rPr>
          <w:sz w:val="24"/>
        </w:rPr>
      </w:pPr>
    </w:p>
    <w:p w14:paraId="51DCA253" w14:textId="2F5CE3FD" w:rsidR="0047774A" w:rsidRDefault="00740B0B" w:rsidP="00095B70">
      <w:pPr>
        <w:pStyle w:val="NoSpacing"/>
        <w:rPr>
          <w:sz w:val="23"/>
          <w:szCs w:val="23"/>
        </w:rPr>
      </w:pPr>
      <w:r>
        <w:rPr>
          <w:sz w:val="23"/>
          <w:szCs w:val="23"/>
        </w:rPr>
        <w:t xml:space="preserve">WASHINGTON, DC – April 1, 2019 – </w:t>
      </w:r>
      <w:r w:rsidR="00001917">
        <w:rPr>
          <w:sz w:val="23"/>
          <w:szCs w:val="23"/>
        </w:rPr>
        <w:t xml:space="preserve">Data released today by </w:t>
      </w:r>
      <w:r w:rsidR="00AB5674" w:rsidRPr="00095B70">
        <w:rPr>
          <w:sz w:val="23"/>
          <w:szCs w:val="23"/>
        </w:rPr>
        <w:t xml:space="preserve">United for Medical Research </w:t>
      </w:r>
      <w:r w:rsidR="00095B70">
        <w:rPr>
          <w:sz w:val="23"/>
          <w:szCs w:val="23"/>
        </w:rPr>
        <w:t xml:space="preserve">(UMR) </w:t>
      </w:r>
      <w:r w:rsidR="00001917">
        <w:rPr>
          <w:sz w:val="23"/>
          <w:szCs w:val="23"/>
        </w:rPr>
        <w:t xml:space="preserve">show </w:t>
      </w:r>
      <w:r w:rsidR="0047774A">
        <w:rPr>
          <w:sz w:val="23"/>
          <w:szCs w:val="23"/>
        </w:rPr>
        <w:t xml:space="preserve">that increases to the National Institutes of Health </w:t>
      </w:r>
      <w:r w:rsidR="006A35DA">
        <w:rPr>
          <w:sz w:val="23"/>
          <w:szCs w:val="23"/>
        </w:rPr>
        <w:t xml:space="preserve">(NIH) </w:t>
      </w:r>
      <w:r w:rsidR="0047774A">
        <w:rPr>
          <w:sz w:val="23"/>
          <w:szCs w:val="23"/>
        </w:rPr>
        <w:t xml:space="preserve">budget since 2015 have </w:t>
      </w:r>
      <w:r w:rsidR="00951109">
        <w:rPr>
          <w:sz w:val="23"/>
          <w:szCs w:val="23"/>
        </w:rPr>
        <w:t>contributed to</w:t>
      </w:r>
      <w:r w:rsidR="0047774A">
        <w:rPr>
          <w:sz w:val="23"/>
          <w:szCs w:val="23"/>
        </w:rPr>
        <w:t xml:space="preserve"> steady increases in jobs and economic activity over this period. </w:t>
      </w:r>
    </w:p>
    <w:p w14:paraId="33D23477" w14:textId="22339924" w:rsidR="006A35DA" w:rsidRDefault="006A35DA" w:rsidP="00095B70">
      <w:pPr>
        <w:pStyle w:val="NoSpacing"/>
        <w:rPr>
          <w:sz w:val="23"/>
          <w:szCs w:val="23"/>
        </w:rPr>
      </w:pPr>
    </w:p>
    <w:p w14:paraId="2C35BCA7" w14:textId="77777777" w:rsidR="00B17E31" w:rsidRDefault="006A35DA" w:rsidP="006A35DA">
      <w:pPr>
        <w:pStyle w:val="NoSpacing"/>
        <w:rPr>
          <w:rFonts w:cstheme="minorHAnsi"/>
          <w:bCs/>
          <w:sz w:val="23"/>
          <w:szCs w:val="23"/>
        </w:rPr>
      </w:pPr>
      <w:r w:rsidRPr="00095B70">
        <w:rPr>
          <w:sz w:val="23"/>
          <w:szCs w:val="23"/>
        </w:rPr>
        <w:t>In fiscal year 201</w:t>
      </w:r>
      <w:r>
        <w:rPr>
          <w:sz w:val="23"/>
          <w:szCs w:val="23"/>
        </w:rPr>
        <w:t>8</w:t>
      </w:r>
      <w:r w:rsidRPr="00095B70">
        <w:rPr>
          <w:sz w:val="23"/>
          <w:szCs w:val="23"/>
        </w:rPr>
        <w:t xml:space="preserve">, NIH research funding directly and indirectly supported </w:t>
      </w:r>
      <w:r>
        <w:rPr>
          <w:b/>
          <w:sz w:val="23"/>
          <w:szCs w:val="23"/>
        </w:rPr>
        <w:t>433,011</w:t>
      </w:r>
      <w:r w:rsidRPr="00095B70">
        <w:rPr>
          <w:b/>
          <w:sz w:val="23"/>
          <w:szCs w:val="23"/>
        </w:rPr>
        <w:t xml:space="preserve"> jobs</w:t>
      </w:r>
      <w:r w:rsidRPr="00095B70">
        <w:rPr>
          <w:sz w:val="23"/>
          <w:szCs w:val="23"/>
        </w:rPr>
        <w:t xml:space="preserve"> </w:t>
      </w:r>
      <w:r w:rsidRPr="0054189D">
        <w:rPr>
          <w:sz w:val="23"/>
          <w:szCs w:val="23"/>
        </w:rPr>
        <w:t xml:space="preserve">nationwide.  </w:t>
      </w:r>
      <w:r w:rsidR="00B17E31">
        <w:rPr>
          <w:sz w:val="23"/>
          <w:szCs w:val="23"/>
        </w:rPr>
        <w:t>When cycled through the</w:t>
      </w:r>
      <w:r w:rsidRPr="0054189D">
        <w:rPr>
          <w:sz w:val="23"/>
          <w:szCs w:val="23"/>
        </w:rPr>
        <w:t xml:space="preserve"> </w:t>
      </w:r>
      <w:r w:rsidR="00B17E31">
        <w:rPr>
          <w:sz w:val="23"/>
          <w:szCs w:val="23"/>
        </w:rPr>
        <w:t xml:space="preserve">economy, the </w:t>
      </w:r>
      <w:r w:rsidRPr="0054189D">
        <w:rPr>
          <w:sz w:val="23"/>
          <w:szCs w:val="23"/>
        </w:rPr>
        <w:t xml:space="preserve">income </w:t>
      </w:r>
      <w:r w:rsidRPr="00095B70">
        <w:rPr>
          <w:rFonts w:cstheme="minorHAnsi"/>
          <w:sz w:val="23"/>
          <w:szCs w:val="23"/>
        </w:rPr>
        <w:t xml:space="preserve">generated by these jobs, as well as </w:t>
      </w:r>
      <w:r>
        <w:rPr>
          <w:rFonts w:cstheme="minorHAnsi"/>
          <w:sz w:val="23"/>
          <w:szCs w:val="23"/>
        </w:rPr>
        <w:t>through</w:t>
      </w:r>
      <w:r w:rsidRPr="00095B70">
        <w:rPr>
          <w:rFonts w:cstheme="minorHAnsi"/>
          <w:sz w:val="23"/>
          <w:szCs w:val="23"/>
        </w:rPr>
        <w:t xml:space="preserve"> the purchase of research-related equipment, services and materials, produced </w:t>
      </w:r>
      <w:r w:rsidRPr="00095B70">
        <w:rPr>
          <w:rFonts w:cstheme="minorHAnsi"/>
          <w:b/>
          <w:bCs/>
          <w:sz w:val="23"/>
          <w:szCs w:val="23"/>
        </w:rPr>
        <w:t>$</w:t>
      </w:r>
      <w:r>
        <w:rPr>
          <w:rFonts w:cstheme="minorHAnsi"/>
          <w:b/>
          <w:bCs/>
          <w:sz w:val="23"/>
          <w:szCs w:val="23"/>
        </w:rPr>
        <w:t>73</w:t>
      </w:r>
      <w:r w:rsidRPr="00095B70">
        <w:rPr>
          <w:rFonts w:cstheme="minorHAnsi"/>
          <w:b/>
          <w:bCs/>
          <w:sz w:val="23"/>
          <w:szCs w:val="23"/>
        </w:rPr>
        <w:t>.</w:t>
      </w:r>
      <w:r>
        <w:rPr>
          <w:rFonts w:cstheme="minorHAnsi"/>
          <w:b/>
          <w:bCs/>
          <w:sz w:val="23"/>
          <w:szCs w:val="23"/>
        </w:rPr>
        <w:t>909</w:t>
      </w:r>
      <w:r w:rsidRPr="00095B70">
        <w:rPr>
          <w:rFonts w:cstheme="minorHAnsi"/>
          <w:b/>
          <w:bCs/>
          <w:sz w:val="23"/>
          <w:szCs w:val="23"/>
        </w:rPr>
        <w:t xml:space="preserve"> billion in new economic activity</w:t>
      </w:r>
      <w:r>
        <w:rPr>
          <w:rFonts w:cstheme="minorHAnsi"/>
          <w:bCs/>
          <w:sz w:val="23"/>
          <w:szCs w:val="23"/>
        </w:rPr>
        <w:t xml:space="preserve">. This represents an almost 23 percent increase in the number of jobs supported over </w:t>
      </w:r>
      <w:r w:rsidR="00B17E31">
        <w:rPr>
          <w:rFonts w:cstheme="minorHAnsi"/>
          <w:bCs/>
          <w:sz w:val="23"/>
          <w:szCs w:val="23"/>
        </w:rPr>
        <w:t xml:space="preserve">fiscal year </w:t>
      </w:r>
      <w:r>
        <w:rPr>
          <w:rFonts w:cstheme="minorHAnsi"/>
          <w:bCs/>
          <w:sz w:val="23"/>
          <w:szCs w:val="23"/>
        </w:rPr>
        <w:t>2015 and a nearly 22 percent increase in economic activity</w:t>
      </w:r>
      <w:r w:rsidR="00B17E31">
        <w:rPr>
          <w:rFonts w:cstheme="minorHAnsi"/>
          <w:bCs/>
          <w:sz w:val="23"/>
          <w:szCs w:val="23"/>
        </w:rPr>
        <w:t>.</w:t>
      </w:r>
      <w:r>
        <w:rPr>
          <w:rFonts w:cstheme="minorHAnsi"/>
          <w:bCs/>
          <w:sz w:val="23"/>
          <w:szCs w:val="23"/>
        </w:rPr>
        <w:t xml:space="preserve"> </w:t>
      </w:r>
    </w:p>
    <w:p w14:paraId="397912EE" w14:textId="77777777" w:rsidR="00B17E31" w:rsidRDefault="00B17E31" w:rsidP="006A35DA">
      <w:pPr>
        <w:pStyle w:val="NoSpacing"/>
        <w:rPr>
          <w:rFonts w:cstheme="minorHAnsi"/>
          <w:bCs/>
          <w:sz w:val="23"/>
          <w:szCs w:val="23"/>
        </w:rPr>
      </w:pPr>
    </w:p>
    <w:p w14:paraId="3C9CD127" w14:textId="25DD287E" w:rsidR="006A35DA" w:rsidRPr="00095B70" w:rsidRDefault="00B17E31" w:rsidP="006A35DA">
      <w:pPr>
        <w:pStyle w:val="NoSpacing"/>
        <w:rPr>
          <w:rFonts w:cstheme="minorHAnsi"/>
          <w:sz w:val="23"/>
          <w:szCs w:val="23"/>
        </w:rPr>
      </w:pPr>
      <w:r>
        <w:rPr>
          <w:rFonts w:cstheme="minorHAnsi"/>
          <w:bCs/>
          <w:sz w:val="23"/>
          <w:szCs w:val="23"/>
        </w:rPr>
        <w:t>“This data is an important reminder that, while medical research takes time to produce results</w:t>
      </w:r>
      <w:r w:rsidR="00951109">
        <w:rPr>
          <w:rFonts w:cstheme="minorHAnsi"/>
          <w:bCs/>
          <w:sz w:val="23"/>
          <w:szCs w:val="23"/>
        </w:rPr>
        <w:t xml:space="preserve"> in the form of new therapies and cures</w:t>
      </w:r>
      <w:r>
        <w:rPr>
          <w:rFonts w:cstheme="minorHAnsi"/>
          <w:bCs/>
          <w:sz w:val="23"/>
          <w:szCs w:val="23"/>
        </w:rPr>
        <w:t xml:space="preserve">, the </w:t>
      </w:r>
      <w:r w:rsidR="00951109">
        <w:rPr>
          <w:rFonts w:cstheme="minorHAnsi"/>
          <w:bCs/>
          <w:sz w:val="23"/>
          <w:szCs w:val="23"/>
        </w:rPr>
        <w:t xml:space="preserve">secondary </w:t>
      </w:r>
      <w:r>
        <w:rPr>
          <w:rFonts w:cstheme="minorHAnsi"/>
          <w:bCs/>
          <w:sz w:val="23"/>
          <w:szCs w:val="23"/>
        </w:rPr>
        <w:t xml:space="preserve">economic impact of this research is immediate and is experienced in </w:t>
      </w:r>
      <w:r w:rsidR="00E704B2">
        <w:rPr>
          <w:rFonts w:cstheme="minorHAnsi"/>
          <w:bCs/>
          <w:sz w:val="23"/>
          <w:szCs w:val="23"/>
        </w:rPr>
        <w:t xml:space="preserve">communities in </w:t>
      </w:r>
      <w:r>
        <w:rPr>
          <w:rFonts w:cstheme="minorHAnsi"/>
          <w:bCs/>
          <w:sz w:val="23"/>
          <w:szCs w:val="23"/>
        </w:rPr>
        <w:t xml:space="preserve">every state in the nation,” said UMR President Alex Currie. </w:t>
      </w:r>
    </w:p>
    <w:p w14:paraId="3086C0BD" w14:textId="77777777" w:rsidR="006A35DA" w:rsidRDefault="006A35DA" w:rsidP="00095B70">
      <w:pPr>
        <w:pStyle w:val="NoSpacing"/>
        <w:rPr>
          <w:sz w:val="23"/>
          <w:szCs w:val="23"/>
        </w:rPr>
      </w:pPr>
    </w:p>
    <w:p w14:paraId="3F15B607" w14:textId="57F80DC4" w:rsidR="0047774A" w:rsidRDefault="0047774A" w:rsidP="00095B70">
      <w:pPr>
        <w:pStyle w:val="NoSpacing"/>
        <w:rPr>
          <w:sz w:val="23"/>
          <w:szCs w:val="23"/>
        </w:rPr>
      </w:pPr>
    </w:p>
    <w:p w14:paraId="62350526" w14:textId="78E9FCF4" w:rsidR="000752DB" w:rsidRDefault="000752DB" w:rsidP="000752DB">
      <w:pPr>
        <w:pStyle w:val="NoSpacing"/>
        <w:jc w:val="center"/>
        <w:rPr>
          <w:sz w:val="23"/>
          <w:szCs w:val="23"/>
        </w:rPr>
      </w:pPr>
      <w:r>
        <w:rPr>
          <w:noProof/>
        </w:rPr>
        <w:drawing>
          <wp:inline distT="0" distB="0" distL="0" distR="0" wp14:anchorId="1ED3CD55" wp14:editId="64729C10">
            <wp:extent cx="4229100" cy="21344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96049" cy="2168220"/>
                    </a:xfrm>
                    <a:prstGeom prst="rect">
                      <a:avLst/>
                    </a:prstGeom>
                  </pic:spPr>
                </pic:pic>
              </a:graphicData>
            </a:graphic>
          </wp:inline>
        </w:drawing>
      </w:r>
    </w:p>
    <w:p w14:paraId="439A0923" w14:textId="4A8380FF" w:rsidR="000752DB" w:rsidRDefault="000752DB" w:rsidP="000752DB">
      <w:pPr>
        <w:pStyle w:val="NoSpacing"/>
        <w:jc w:val="center"/>
        <w:rPr>
          <w:sz w:val="23"/>
          <w:szCs w:val="23"/>
        </w:rPr>
      </w:pPr>
    </w:p>
    <w:p w14:paraId="41E5F4C6" w14:textId="0D62BF7E" w:rsidR="00744844" w:rsidRPr="007B0D64" w:rsidRDefault="00373B8A" w:rsidP="000752DB">
      <w:pPr>
        <w:pStyle w:val="NoSpacing"/>
        <w:rPr>
          <w:sz w:val="23"/>
          <w:szCs w:val="23"/>
        </w:rPr>
      </w:pPr>
      <w:r w:rsidRPr="007B0D64">
        <w:rPr>
          <w:sz w:val="23"/>
          <w:szCs w:val="23"/>
        </w:rPr>
        <w:t>“</w:t>
      </w:r>
      <w:r w:rsidR="00744844" w:rsidRPr="007B0D64">
        <w:rPr>
          <w:sz w:val="23"/>
          <w:szCs w:val="23"/>
        </w:rPr>
        <w:t xml:space="preserve">UMR greatly appreciates the strong bipartisan congressional support </w:t>
      </w:r>
      <w:r w:rsidRPr="007B0D64">
        <w:rPr>
          <w:sz w:val="23"/>
          <w:szCs w:val="23"/>
        </w:rPr>
        <w:t xml:space="preserve">that, </w:t>
      </w:r>
      <w:r w:rsidR="00744844" w:rsidRPr="007B0D64">
        <w:rPr>
          <w:sz w:val="23"/>
          <w:szCs w:val="23"/>
        </w:rPr>
        <w:t>over the past four years</w:t>
      </w:r>
      <w:r w:rsidRPr="007B0D64">
        <w:rPr>
          <w:sz w:val="23"/>
          <w:szCs w:val="23"/>
        </w:rPr>
        <w:t>,</w:t>
      </w:r>
      <w:r w:rsidR="00744844" w:rsidRPr="007B0D64">
        <w:rPr>
          <w:sz w:val="23"/>
          <w:szCs w:val="23"/>
        </w:rPr>
        <w:t xml:space="preserve"> has </w:t>
      </w:r>
      <w:r w:rsidRPr="007B0D64">
        <w:rPr>
          <w:sz w:val="23"/>
          <w:szCs w:val="23"/>
        </w:rPr>
        <w:t xml:space="preserve">worked to </w:t>
      </w:r>
      <w:r w:rsidR="00951109" w:rsidRPr="007B0D64">
        <w:rPr>
          <w:sz w:val="23"/>
          <w:szCs w:val="23"/>
        </w:rPr>
        <w:t>put</w:t>
      </w:r>
      <w:r w:rsidRPr="007B0D64">
        <w:rPr>
          <w:sz w:val="23"/>
          <w:szCs w:val="23"/>
        </w:rPr>
        <w:t xml:space="preserve"> the NIH budget </w:t>
      </w:r>
      <w:r w:rsidR="00744844" w:rsidRPr="007B0D64">
        <w:rPr>
          <w:sz w:val="23"/>
          <w:szCs w:val="23"/>
        </w:rPr>
        <w:t>back on a sustainable growth path</w:t>
      </w:r>
      <w:r w:rsidR="00951109" w:rsidRPr="007B0D64">
        <w:rPr>
          <w:sz w:val="23"/>
          <w:szCs w:val="23"/>
        </w:rPr>
        <w:t xml:space="preserve"> after years of flat funding</w:t>
      </w:r>
      <w:r w:rsidR="00744844" w:rsidRPr="007B0D64">
        <w:rPr>
          <w:sz w:val="23"/>
          <w:szCs w:val="23"/>
        </w:rPr>
        <w:t xml:space="preserve">. </w:t>
      </w:r>
      <w:r w:rsidRPr="007B0D64">
        <w:rPr>
          <w:sz w:val="23"/>
          <w:szCs w:val="23"/>
        </w:rPr>
        <w:t>Now, as</w:t>
      </w:r>
      <w:r w:rsidR="00744844" w:rsidRPr="007B0D64">
        <w:rPr>
          <w:sz w:val="23"/>
          <w:szCs w:val="23"/>
        </w:rPr>
        <w:t xml:space="preserve"> Congress considers </w:t>
      </w:r>
      <w:r w:rsidR="00951109" w:rsidRPr="007B0D64">
        <w:rPr>
          <w:sz w:val="23"/>
          <w:szCs w:val="23"/>
        </w:rPr>
        <w:t xml:space="preserve">spending decisions for </w:t>
      </w:r>
      <w:r w:rsidR="00744844" w:rsidRPr="007B0D64">
        <w:rPr>
          <w:sz w:val="23"/>
          <w:szCs w:val="23"/>
        </w:rPr>
        <w:t>fiscal year 2020</w:t>
      </w:r>
      <w:r w:rsidRPr="007B0D64">
        <w:rPr>
          <w:sz w:val="23"/>
          <w:szCs w:val="23"/>
        </w:rPr>
        <w:t xml:space="preserve">, we urge Members to continue this process and provide </w:t>
      </w:r>
      <w:r w:rsidR="00F82325" w:rsidRPr="007B0D64">
        <w:rPr>
          <w:sz w:val="23"/>
          <w:szCs w:val="23"/>
        </w:rPr>
        <w:t xml:space="preserve">the </w:t>
      </w:r>
      <w:r w:rsidRPr="007B0D64">
        <w:rPr>
          <w:sz w:val="23"/>
          <w:szCs w:val="23"/>
        </w:rPr>
        <w:t>NIH an increase of at least $</w:t>
      </w:r>
      <w:r w:rsidR="003904A1" w:rsidRPr="007B0D64">
        <w:rPr>
          <w:sz w:val="23"/>
          <w:szCs w:val="23"/>
        </w:rPr>
        <w:t>2.5</w:t>
      </w:r>
      <w:r w:rsidRPr="007B0D64">
        <w:rPr>
          <w:sz w:val="23"/>
          <w:szCs w:val="23"/>
        </w:rPr>
        <w:t xml:space="preserve"> billion</w:t>
      </w:r>
      <w:r w:rsidR="00951109" w:rsidRPr="007B0D64">
        <w:rPr>
          <w:sz w:val="23"/>
          <w:szCs w:val="23"/>
        </w:rPr>
        <w:t>, allowing for real growth above inflation</w:t>
      </w:r>
      <w:r w:rsidRPr="007B0D64">
        <w:rPr>
          <w:sz w:val="23"/>
          <w:szCs w:val="23"/>
        </w:rPr>
        <w:t xml:space="preserve">. There is no more powerful investment than one that improves the public’s health, provides hope to patients and families affected by disease and fuels the economy,” Currie said. </w:t>
      </w:r>
    </w:p>
    <w:p w14:paraId="6E9B0D32" w14:textId="131EA585" w:rsidR="00D658FF" w:rsidRPr="00E56B3C" w:rsidRDefault="00674E33" w:rsidP="00AB5674">
      <w:pPr>
        <w:pStyle w:val="NoSpacing"/>
        <w:rPr>
          <w:sz w:val="23"/>
          <w:szCs w:val="23"/>
        </w:rPr>
      </w:pPr>
      <w:r w:rsidRPr="00E56B3C">
        <w:rPr>
          <w:sz w:val="23"/>
          <w:szCs w:val="23"/>
        </w:rPr>
        <w:lastRenderedPageBreak/>
        <w:t xml:space="preserve">In </w:t>
      </w:r>
      <w:r w:rsidR="007B0D64">
        <w:rPr>
          <w:sz w:val="23"/>
          <w:szCs w:val="23"/>
        </w:rPr>
        <w:t>fiscal year</w:t>
      </w:r>
      <w:r w:rsidRPr="00E56B3C">
        <w:rPr>
          <w:sz w:val="23"/>
          <w:szCs w:val="23"/>
        </w:rPr>
        <w:t xml:space="preserve"> 201</w:t>
      </w:r>
      <w:r w:rsidR="00373B8A">
        <w:rPr>
          <w:sz w:val="23"/>
          <w:szCs w:val="23"/>
        </w:rPr>
        <w:t>8</w:t>
      </w:r>
      <w:r w:rsidRPr="00E56B3C">
        <w:rPr>
          <w:sz w:val="23"/>
          <w:szCs w:val="23"/>
        </w:rPr>
        <w:t xml:space="preserve">, the NIH provided just </w:t>
      </w:r>
      <w:r w:rsidR="00B046B2">
        <w:rPr>
          <w:sz w:val="23"/>
          <w:szCs w:val="23"/>
        </w:rPr>
        <w:t>over</w:t>
      </w:r>
      <w:r w:rsidRPr="00E56B3C">
        <w:rPr>
          <w:sz w:val="23"/>
          <w:szCs w:val="23"/>
        </w:rPr>
        <w:t xml:space="preserve"> $2</w:t>
      </w:r>
      <w:r w:rsidR="00373B8A">
        <w:rPr>
          <w:sz w:val="23"/>
          <w:szCs w:val="23"/>
        </w:rPr>
        <w:t>8</w:t>
      </w:r>
      <w:r w:rsidRPr="00E56B3C">
        <w:rPr>
          <w:sz w:val="23"/>
          <w:szCs w:val="23"/>
        </w:rPr>
        <w:t xml:space="preserve"> billion in extramural research funding to scientists in all </w:t>
      </w:r>
      <w:r w:rsidR="001A1421">
        <w:t xml:space="preserve">50 states </w:t>
      </w:r>
      <w:r w:rsidRPr="00E56B3C">
        <w:rPr>
          <w:sz w:val="23"/>
          <w:szCs w:val="23"/>
        </w:rPr>
        <w:t>and the District of Columbia.</w:t>
      </w:r>
      <w:r w:rsidR="00E56B3C" w:rsidRPr="00E56B3C">
        <w:rPr>
          <w:sz w:val="23"/>
          <w:szCs w:val="23"/>
        </w:rPr>
        <w:t xml:space="preserve"> This funding directly supports the jobs of the principal investigators and their research teams, the producers of the specialized equipment used in the research process, and ultimately, the jobs of the people who provide the goods and services demanded by those researchers and equipment manufacturers. </w:t>
      </w:r>
      <w:r w:rsidR="00812FA6">
        <w:rPr>
          <w:sz w:val="23"/>
          <w:szCs w:val="23"/>
        </w:rPr>
        <w:t>According to the analysis,</w:t>
      </w:r>
      <w:r w:rsidR="007C370C">
        <w:rPr>
          <w:sz w:val="23"/>
          <w:szCs w:val="23"/>
        </w:rPr>
        <w:t xml:space="preserve"> </w:t>
      </w:r>
      <w:r w:rsidR="00812FA6">
        <w:rPr>
          <w:sz w:val="23"/>
          <w:szCs w:val="23"/>
        </w:rPr>
        <w:t xml:space="preserve">the </w:t>
      </w:r>
      <w:r w:rsidR="00E24F39" w:rsidRPr="00E56B3C">
        <w:rPr>
          <w:sz w:val="23"/>
          <w:szCs w:val="23"/>
        </w:rPr>
        <w:t xml:space="preserve">median state has </w:t>
      </w:r>
      <w:r w:rsidR="001A1421">
        <w:rPr>
          <w:sz w:val="23"/>
          <w:szCs w:val="23"/>
        </w:rPr>
        <w:t>4,</w:t>
      </w:r>
      <w:r w:rsidR="00D56015">
        <w:rPr>
          <w:sz w:val="23"/>
          <w:szCs w:val="23"/>
        </w:rPr>
        <w:t>585</w:t>
      </w:r>
      <w:r w:rsidR="00E24F39" w:rsidRPr="00E56B3C">
        <w:rPr>
          <w:sz w:val="23"/>
          <w:szCs w:val="23"/>
        </w:rPr>
        <w:t xml:space="preserve"> jobs due to NIH research activity</w:t>
      </w:r>
      <w:r w:rsidR="00A50521">
        <w:rPr>
          <w:sz w:val="23"/>
          <w:szCs w:val="23"/>
        </w:rPr>
        <w:t xml:space="preserve"> </w:t>
      </w:r>
      <w:r w:rsidR="00812FA6">
        <w:rPr>
          <w:sz w:val="23"/>
          <w:szCs w:val="23"/>
        </w:rPr>
        <w:t xml:space="preserve">with </w:t>
      </w:r>
      <w:r w:rsidR="00D56015">
        <w:rPr>
          <w:sz w:val="23"/>
          <w:szCs w:val="23"/>
        </w:rPr>
        <w:t xml:space="preserve">23 states having employment of 5,000 or more jobs and </w:t>
      </w:r>
      <w:r w:rsidR="00E24F39" w:rsidRPr="00E56B3C">
        <w:rPr>
          <w:sz w:val="23"/>
          <w:szCs w:val="23"/>
        </w:rPr>
        <w:t xml:space="preserve">13 states </w:t>
      </w:r>
      <w:r w:rsidR="00812FA6">
        <w:rPr>
          <w:sz w:val="23"/>
          <w:szCs w:val="23"/>
        </w:rPr>
        <w:t xml:space="preserve">having </w:t>
      </w:r>
      <w:r w:rsidR="00E24F39" w:rsidRPr="00E56B3C">
        <w:rPr>
          <w:sz w:val="23"/>
          <w:szCs w:val="23"/>
        </w:rPr>
        <w:t>employment of 10,000 or more</w:t>
      </w:r>
      <w:r w:rsidR="00D56015">
        <w:rPr>
          <w:sz w:val="23"/>
          <w:szCs w:val="23"/>
        </w:rPr>
        <w:t xml:space="preserve"> jobs</w:t>
      </w:r>
      <w:r w:rsidR="00E24F39" w:rsidRPr="00E56B3C">
        <w:rPr>
          <w:sz w:val="23"/>
          <w:szCs w:val="23"/>
        </w:rPr>
        <w:t xml:space="preserve">. Additionally, the income generated by these jobs, as well as </w:t>
      </w:r>
      <w:r w:rsidR="00812FA6">
        <w:rPr>
          <w:sz w:val="23"/>
          <w:szCs w:val="23"/>
        </w:rPr>
        <w:t>through</w:t>
      </w:r>
      <w:r w:rsidR="00E24F39" w:rsidRPr="00E56B3C">
        <w:rPr>
          <w:sz w:val="23"/>
          <w:szCs w:val="23"/>
        </w:rPr>
        <w:t xml:space="preserve"> the purchase of research-related equipment, services and materials, when cycled through the economy, produced nearly $</w:t>
      </w:r>
      <w:r w:rsidR="00D56015">
        <w:rPr>
          <w:sz w:val="23"/>
          <w:szCs w:val="23"/>
        </w:rPr>
        <w:t>74</w:t>
      </w:r>
      <w:r w:rsidR="00E24F39" w:rsidRPr="00E56B3C">
        <w:rPr>
          <w:sz w:val="23"/>
          <w:szCs w:val="23"/>
        </w:rPr>
        <w:t xml:space="preserve"> billion in new economic activity in 201</w:t>
      </w:r>
      <w:r w:rsidR="00D56015">
        <w:rPr>
          <w:sz w:val="23"/>
          <w:szCs w:val="23"/>
        </w:rPr>
        <w:t>8</w:t>
      </w:r>
      <w:r w:rsidR="00E24F39" w:rsidRPr="00E56B3C">
        <w:rPr>
          <w:sz w:val="23"/>
          <w:szCs w:val="23"/>
        </w:rPr>
        <w:t xml:space="preserve">. </w:t>
      </w:r>
      <w:r w:rsidR="001A1421">
        <w:rPr>
          <w:sz w:val="23"/>
          <w:szCs w:val="23"/>
        </w:rPr>
        <w:t>Twenty</w:t>
      </w:r>
      <w:r w:rsidR="00D56015">
        <w:rPr>
          <w:sz w:val="23"/>
          <w:szCs w:val="23"/>
        </w:rPr>
        <w:t xml:space="preserve">-eight </w:t>
      </w:r>
      <w:r w:rsidR="00E24F39" w:rsidRPr="00E56B3C">
        <w:rPr>
          <w:sz w:val="23"/>
          <w:szCs w:val="23"/>
        </w:rPr>
        <w:t xml:space="preserve">states experienced an economic gain of </w:t>
      </w:r>
      <w:r w:rsidR="00D56015">
        <w:rPr>
          <w:sz w:val="23"/>
          <w:szCs w:val="23"/>
        </w:rPr>
        <w:t xml:space="preserve">$500 million or more, with 20 states experiencing a gain of </w:t>
      </w:r>
      <w:r w:rsidR="00E24F39" w:rsidRPr="00E56B3C">
        <w:rPr>
          <w:sz w:val="23"/>
          <w:szCs w:val="23"/>
        </w:rPr>
        <w:t>$1 billion or more.</w:t>
      </w:r>
    </w:p>
    <w:p w14:paraId="4D561C64" w14:textId="1B8D9A96" w:rsidR="004F7DEF" w:rsidRDefault="004F7DEF" w:rsidP="00AB5674">
      <w:pPr>
        <w:pStyle w:val="NoSpacing"/>
        <w:rPr>
          <w:sz w:val="23"/>
          <w:szCs w:val="23"/>
        </w:rPr>
      </w:pPr>
    </w:p>
    <w:p w14:paraId="39431580" w14:textId="77777777" w:rsidR="00F82325" w:rsidRDefault="00F82325" w:rsidP="00F82325">
      <w:pPr>
        <w:pStyle w:val="NoSpacing"/>
        <w:rPr>
          <w:sz w:val="23"/>
          <w:szCs w:val="23"/>
        </w:rPr>
      </w:pPr>
      <w:r w:rsidRPr="00EE361A">
        <w:rPr>
          <w:sz w:val="23"/>
          <w:szCs w:val="23"/>
        </w:rPr>
        <w:t>United for Medical Research has provided an analysis of the employment and economic activity attributable to NIH extramural research spending</w:t>
      </w:r>
      <w:r>
        <w:rPr>
          <w:sz w:val="23"/>
          <w:szCs w:val="23"/>
        </w:rPr>
        <w:t xml:space="preserve"> each year since 2011</w:t>
      </w:r>
      <w:r w:rsidRPr="00EE361A">
        <w:rPr>
          <w:sz w:val="23"/>
          <w:szCs w:val="23"/>
        </w:rPr>
        <w:t>.</w:t>
      </w:r>
      <w:r>
        <w:rPr>
          <w:sz w:val="23"/>
          <w:szCs w:val="23"/>
        </w:rPr>
        <w:t xml:space="preserve"> Each of the analyses has been conducted by Dr. Everett Ehrlich of ESC Company using the </w:t>
      </w:r>
      <w:r w:rsidRPr="00E56B3C">
        <w:rPr>
          <w:sz w:val="23"/>
          <w:szCs w:val="23"/>
        </w:rPr>
        <w:t>Regional Input-Output Modeling System (RIMS II) developed by the Department of Commerce</w:t>
      </w:r>
      <w:r>
        <w:rPr>
          <w:sz w:val="23"/>
          <w:szCs w:val="23"/>
        </w:rPr>
        <w:t xml:space="preserve">. </w:t>
      </w:r>
    </w:p>
    <w:p w14:paraId="227030D5" w14:textId="450E18AC" w:rsidR="00F82325" w:rsidRDefault="00F82325" w:rsidP="00AB5674">
      <w:pPr>
        <w:pStyle w:val="NoSpacing"/>
        <w:rPr>
          <w:sz w:val="23"/>
          <w:szCs w:val="23"/>
        </w:rPr>
      </w:pPr>
    </w:p>
    <w:p w14:paraId="098D617C" w14:textId="3035517D" w:rsidR="00DD053A" w:rsidRPr="00DD053A" w:rsidRDefault="009B545E" w:rsidP="00A068F1">
      <w:pPr>
        <w:pStyle w:val="NoSpacing"/>
        <w:rPr>
          <w:b/>
          <w:color w:val="000000"/>
          <w:sz w:val="24"/>
          <w:szCs w:val="24"/>
        </w:rPr>
      </w:pPr>
      <w:r>
        <w:rPr>
          <w:b/>
          <w:color w:val="000000"/>
          <w:sz w:val="24"/>
          <w:szCs w:val="24"/>
        </w:rPr>
        <w:t xml:space="preserve">Link to </w:t>
      </w:r>
      <w:r w:rsidR="00DD053A" w:rsidRPr="00DD053A">
        <w:rPr>
          <w:b/>
          <w:color w:val="000000"/>
          <w:sz w:val="24"/>
          <w:szCs w:val="24"/>
        </w:rPr>
        <w:t xml:space="preserve">UMR </w:t>
      </w:r>
      <w:r w:rsidR="00D56015">
        <w:rPr>
          <w:b/>
          <w:color w:val="000000"/>
          <w:sz w:val="24"/>
          <w:szCs w:val="24"/>
        </w:rPr>
        <w:t xml:space="preserve">report, including </w:t>
      </w:r>
      <w:r w:rsidR="00F82325">
        <w:rPr>
          <w:b/>
          <w:color w:val="000000"/>
          <w:sz w:val="24"/>
          <w:szCs w:val="24"/>
        </w:rPr>
        <w:t>50-</w:t>
      </w:r>
      <w:r w:rsidR="00D56015">
        <w:rPr>
          <w:b/>
          <w:color w:val="000000"/>
          <w:sz w:val="24"/>
          <w:szCs w:val="24"/>
        </w:rPr>
        <w:t xml:space="preserve">state data: </w:t>
      </w:r>
      <w:hyperlink r:id="rId9" w:history="1">
        <w:r w:rsidR="00891DFF" w:rsidRPr="002936D6">
          <w:rPr>
            <w:rStyle w:val="Hyperlink"/>
            <w:b/>
            <w:sz w:val="24"/>
            <w:szCs w:val="24"/>
          </w:rPr>
          <w:t>HE</w:t>
        </w:r>
        <w:r w:rsidR="00891DFF" w:rsidRPr="002936D6">
          <w:rPr>
            <w:rStyle w:val="Hyperlink"/>
            <w:b/>
            <w:sz w:val="24"/>
            <w:szCs w:val="24"/>
          </w:rPr>
          <w:t>R</w:t>
        </w:r>
        <w:r w:rsidR="00891DFF" w:rsidRPr="002936D6">
          <w:rPr>
            <w:rStyle w:val="Hyperlink"/>
            <w:b/>
            <w:sz w:val="24"/>
            <w:szCs w:val="24"/>
          </w:rPr>
          <w:t>E</w:t>
        </w:r>
      </w:hyperlink>
      <w:r w:rsidR="00891DFF">
        <w:rPr>
          <w:b/>
          <w:color w:val="000000"/>
          <w:sz w:val="24"/>
          <w:szCs w:val="24"/>
        </w:rPr>
        <w:t xml:space="preserve"> </w:t>
      </w:r>
    </w:p>
    <w:p w14:paraId="0FE1878D" w14:textId="597CEC02" w:rsidR="00DD053A" w:rsidRPr="00DD053A" w:rsidRDefault="00DD053A" w:rsidP="00A068F1">
      <w:pPr>
        <w:pStyle w:val="NoSpacing"/>
        <w:rPr>
          <w:b/>
          <w:color w:val="000000"/>
          <w:sz w:val="24"/>
          <w:szCs w:val="24"/>
        </w:rPr>
      </w:pPr>
      <w:r w:rsidRPr="00DD053A">
        <w:rPr>
          <w:b/>
          <w:color w:val="000000"/>
          <w:sz w:val="24"/>
          <w:szCs w:val="24"/>
        </w:rPr>
        <w:t xml:space="preserve">Link to </w:t>
      </w:r>
      <w:r w:rsidR="00D56015">
        <w:rPr>
          <w:b/>
          <w:color w:val="000000"/>
          <w:sz w:val="24"/>
          <w:szCs w:val="24"/>
        </w:rPr>
        <w:t>map with state-specific data:</w:t>
      </w:r>
      <w:r w:rsidR="00D56015" w:rsidRPr="00DD053A">
        <w:rPr>
          <w:b/>
          <w:color w:val="000000"/>
          <w:sz w:val="24"/>
          <w:szCs w:val="24"/>
        </w:rPr>
        <w:t xml:space="preserve"> </w:t>
      </w:r>
      <w:hyperlink r:id="rId10" w:history="1">
        <w:r w:rsidR="00F82325" w:rsidRPr="00F82325">
          <w:rPr>
            <w:rStyle w:val="Hyperlink"/>
            <w:b/>
            <w:sz w:val="24"/>
            <w:szCs w:val="24"/>
          </w:rPr>
          <w:t>H</w:t>
        </w:r>
        <w:bookmarkStart w:id="0" w:name="_GoBack"/>
        <w:bookmarkEnd w:id="0"/>
        <w:r w:rsidR="00F82325" w:rsidRPr="00F82325">
          <w:rPr>
            <w:rStyle w:val="Hyperlink"/>
            <w:b/>
            <w:sz w:val="24"/>
            <w:szCs w:val="24"/>
          </w:rPr>
          <w:t>E</w:t>
        </w:r>
        <w:r w:rsidR="00F82325" w:rsidRPr="00F82325">
          <w:rPr>
            <w:rStyle w:val="Hyperlink"/>
            <w:b/>
            <w:sz w:val="24"/>
            <w:szCs w:val="24"/>
          </w:rPr>
          <w:t>RE</w:t>
        </w:r>
      </w:hyperlink>
    </w:p>
    <w:p w14:paraId="5A19D3DC" w14:textId="7614C2FE" w:rsidR="00827AFB" w:rsidRDefault="00827AFB" w:rsidP="00A068F1">
      <w:pPr>
        <w:pStyle w:val="NoSpacing"/>
        <w:rPr>
          <w:color w:val="000000"/>
          <w:sz w:val="24"/>
          <w:szCs w:val="24"/>
        </w:rPr>
      </w:pPr>
    </w:p>
    <w:p w14:paraId="2585AF81" w14:textId="77777777" w:rsidR="00740B0B" w:rsidRPr="00647CDD" w:rsidRDefault="00740B0B" w:rsidP="00740B0B">
      <w:pPr>
        <w:pStyle w:val="NoSpacing"/>
        <w:rPr>
          <w:b/>
        </w:rPr>
      </w:pPr>
      <w:r w:rsidRPr="00647CDD">
        <w:rPr>
          <w:b/>
        </w:rPr>
        <w:t>Media Contact:</w:t>
      </w:r>
    </w:p>
    <w:p w14:paraId="14AABBF0" w14:textId="77777777" w:rsidR="00740B0B" w:rsidRPr="00647CDD" w:rsidRDefault="00740B0B" w:rsidP="00740B0B">
      <w:pPr>
        <w:pStyle w:val="NoSpacing"/>
      </w:pPr>
      <w:r w:rsidRPr="00647CDD">
        <w:t xml:space="preserve">Sue Garman </w:t>
      </w:r>
    </w:p>
    <w:p w14:paraId="74F89205" w14:textId="77777777" w:rsidR="00740B0B" w:rsidRPr="00647CDD" w:rsidRDefault="00346932" w:rsidP="00740B0B">
      <w:pPr>
        <w:pStyle w:val="NoSpacing"/>
        <w:ind w:right="-540"/>
      </w:pPr>
      <w:hyperlink r:id="rId11" w:history="1">
        <w:r w:rsidR="00740B0B" w:rsidRPr="00647CDD">
          <w:rPr>
            <w:rStyle w:val="Hyperlink"/>
          </w:rPr>
          <w:t>sgarman@hudsonlake.com</w:t>
        </w:r>
      </w:hyperlink>
      <w:r w:rsidR="00740B0B" w:rsidRPr="00647CDD">
        <w:t xml:space="preserve">  </w:t>
      </w:r>
    </w:p>
    <w:p w14:paraId="7F06AD9E" w14:textId="77777777" w:rsidR="00740B0B" w:rsidRDefault="00740B0B" w:rsidP="00740B0B">
      <w:r>
        <w:t>240-687-2026</w:t>
      </w:r>
    </w:p>
    <w:p w14:paraId="23C05B92" w14:textId="77777777" w:rsidR="00740B0B" w:rsidRDefault="00740B0B" w:rsidP="00A068F1">
      <w:pPr>
        <w:pStyle w:val="NoSpacing"/>
        <w:rPr>
          <w:color w:val="000000"/>
          <w:sz w:val="24"/>
          <w:szCs w:val="24"/>
        </w:rPr>
      </w:pPr>
    </w:p>
    <w:p w14:paraId="2BE17C22" w14:textId="6BC67D3D" w:rsidR="00E56B3C" w:rsidRDefault="00E56B3C" w:rsidP="00E56B3C">
      <w:pPr>
        <w:pStyle w:val="NoSpacing"/>
        <w:jc w:val="center"/>
      </w:pPr>
      <w:r>
        <w:rPr>
          <w:rStyle w:val="Emphasis"/>
          <w:color w:val="000000"/>
          <w:sz w:val="20"/>
          <w:szCs w:val="20"/>
          <w:shd w:val="clear" w:color="auto" w:fill="FFFFFF"/>
        </w:rPr>
        <w:t>United for Medical Research is a coalition of leading scientific research institutions and industries, and patient and health advocates that have joined together to seek steady increases in funding for the National Institutes of Health. Learn more at</w:t>
      </w:r>
      <w:r w:rsidR="00812FA6">
        <w:rPr>
          <w:rStyle w:val="Emphasis"/>
          <w:color w:val="000000"/>
          <w:sz w:val="20"/>
          <w:szCs w:val="20"/>
          <w:shd w:val="clear" w:color="auto" w:fill="FFFFFF"/>
        </w:rPr>
        <w:t xml:space="preserve"> </w:t>
      </w:r>
      <w:hyperlink r:id="rId12" w:history="1">
        <w:r w:rsidR="0019624A" w:rsidRPr="00B829D3">
          <w:rPr>
            <w:rStyle w:val="Hyperlink"/>
            <w:sz w:val="20"/>
            <w:szCs w:val="20"/>
            <w:shd w:val="clear" w:color="auto" w:fill="FFFFFF"/>
          </w:rPr>
          <w:t>www.unitedformedicalresearch.com</w:t>
        </w:r>
      </w:hyperlink>
      <w:r w:rsidR="00812FA6">
        <w:rPr>
          <w:rStyle w:val="Emphasis"/>
          <w:color w:val="000000"/>
          <w:sz w:val="20"/>
          <w:szCs w:val="20"/>
          <w:shd w:val="clear" w:color="auto" w:fill="FFFFFF"/>
        </w:rPr>
        <w:t>.</w:t>
      </w:r>
      <w:r>
        <w:rPr>
          <w:rStyle w:val="Emphasis"/>
          <w:color w:val="000000"/>
          <w:sz w:val="20"/>
          <w:szCs w:val="20"/>
          <w:shd w:val="clear" w:color="auto" w:fill="FFFFFF"/>
        </w:rPr>
        <w:t xml:space="preserve"> For examples of the amazing things that NIH research is making possible, visit</w:t>
      </w:r>
      <w:r w:rsidR="00812FA6">
        <w:rPr>
          <w:rStyle w:val="Emphasis"/>
          <w:color w:val="000000"/>
          <w:sz w:val="20"/>
          <w:szCs w:val="20"/>
          <w:shd w:val="clear" w:color="auto" w:fill="FFFFFF"/>
        </w:rPr>
        <w:t xml:space="preserve"> </w:t>
      </w:r>
      <w:hyperlink r:id="rId13" w:history="1">
        <w:r w:rsidR="00812FA6" w:rsidRPr="002E02DA">
          <w:rPr>
            <w:rStyle w:val="Hyperlink"/>
            <w:sz w:val="20"/>
            <w:szCs w:val="20"/>
            <w:shd w:val="clear" w:color="auto" w:fill="FFFFFF"/>
          </w:rPr>
          <w:t>www.amazingthingspodcast.com</w:t>
        </w:r>
      </w:hyperlink>
      <w:r>
        <w:rPr>
          <w:rStyle w:val="Emphasis"/>
          <w:color w:val="000000"/>
          <w:sz w:val="20"/>
          <w:szCs w:val="20"/>
          <w:shd w:val="clear" w:color="auto" w:fill="FFFFFF"/>
        </w:rPr>
        <w:t>.</w:t>
      </w:r>
    </w:p>
    <w:p w14:paraId="0463FCB2" w14:textId="77777777" w:rsidR="00E56B3C" w:rsidRPr="00E56B3C" w:rsidRDefault="00E56B3C" w:rsidP="00AB5674">
      <w:pPr>
        <w:pStyle w:val="NoSpacing"/>
        <w:rPr>
          <w:sz w:val="23"/>
          <w:szCs w:val="23"/>
        </w:rPr>
      </w:pPr>
    </w:p>
    <w:p w14:paraId="0AE1F210" w14:textId="77777777" w:rsidR="00E56B3C" w:rsidRDefault="00E56B3C" w:rsidP="00AB5674">
      <w:pPr>
        <w:pStyle w:val="NoSpacing"/>
        <w:rPr>
          <w:sz w:val="24"/>
        </w:rPr>
      </w:pPr>
    </w:p>
    <w:p w14:paraId="19100889" w14:textId="77777777" w:rsidR="00D658FF" w:rsidRDefault="00D658FF" w:rsidP="00AB5674">
      <w:pPr>
        <w:pStyle w:val="NoSpacing"/>
        <w:rPr>
          <w:sz w:val="24"/>
        </w:rPr>
      </w:pPr>
    </w:p>
    <w:sectPr w:rsidR="00D658FF">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EFC28" w14:textId="77777777" w:rsidR="00346932" w:rsidRDefault="00346932" w:rsidP="006548F7">
      <w:r>
        <w:separator/>
      </w:r>
    </w:p>
  </w:endnote>
  <w:endnote w:type="continuationSeparator" w:id="0">
    <w:p w14:paraId="7D3AD14C" w14:textId="77777777" w:rsidR="00346932" w:rsidRDefault="00346932" w:rsidP="00654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55 Roman">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0B630" w14:textId="77777777" w:rsidR="00346932" w:rsidRDefault="00346932" w:rsidP="006548F7">
      <w:r>
        <w:separator/>
      </w:r>
    </w:p>
  </w:footnote>
  <w:footnote w:type="continuationSeparator" w:id="0">
    <w:p w14:paraId="098F1911" w14:textId="77777777" w:rsidR="00346932" w:rsidRDefault="00346932" w:rsidP="00654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EE842" w14:textId="1BD70F45" w:rsidR="006548F7" w:rsidRPr="002E12C9" w:rsidRDefault="006548F7" w:rsidP="002E12C9">
    <w:pPr>
      <w:pStyle w:val="Header"/>
      <w:jc w:val="center"/>
      <w:rPr>
        <w:sz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674"/>
    <w:rsid w:val="00001917"/>
    <w:rsid w:val="000178A0"/>
    <w:rsid w:val="00022C4F"/>
    <w:rsid w:val="00023DDA"/>
    <w:rsid w:val="0003131E"/>
    <w:rsid w:val="000752DB"/>
    <w:rsid w:val="00095B70"/>
    <w:rsid w:val="000D73F2"/>
    <w:rsid w:val="000E37B8"/>
    <w:rsid w:val="0015302E"/>
    <w:rsid w:val="00164ED3"/>
    <w:rsid w:val="00172718"/>
    <w:rsid w:val="0019624A"/>
    <w:rsid w:val="001A1421"/>
    <w:rsid w:val="002022C7"/>
    <w:rsid w:val="00222785"/>
    <w:rsid w:val="002442FC"/>
    <w:rsid w:val="002936D6"/>
    <w:rsid w:val="002A2CD1"/>
    <w:rsid w:val="002C4BBA"/>
    <w:rsid w:val="002D0DAC"/>
    <w:rsid w:val="002E12C9"/>
    <w:rsid w:val="002E79AA"/>
    <w:rsid w:val="003403AE"/>
    <w:rsid w:val="00342C4F"/>
    <w:rsid w:val="00346932"/>
    <w:rsid w:val="003553CE"/>
    <w:rsid w:val="00373B8A"/>
    <w:rsid w:val="003904A1"/>
    <w:rsid w:val="003E5E36"/>
    <w:rsid w:val="003F3BBF"/>
    <w:rsid w:val="00420650"/>
    <w:rsid w:val="004665D1"/>
    <w:rsid w:val="00466828"/>
    <w:rsid w:val="0047774A"/>
    <w:rsid w:val="004D115F"/>
    <w:rsid w:val="004E67FA"/>
    <w:rsid w:val="004F7DEF"/>
    <w:rsid w:val="00521E8C"/>
    <w:rsid w:val="0054189D"/>
    <w:rsid w:val="00550B49"/>
    <w:rsid w:val="00556B82"/>
    <w:rsid w:val="00562D8F"/>
    <w:rsid w:val="005709D7"/>
    <w:rsid w:val="005A1848"/>
    <w:rsid w:val="005F2BF5"/>
    <w:rsid w:val="006548F7"/>
    <w:rsid w:val="00674E0C"/>
    <w:rsid w:val="00674E33"/>
    <w:rsid w:val="006966F3"/>
    <w:rsid w:val="006A35DA"/>
    <w:rsid w:val="006E0686"/>
    <w:rsid w:val="00740B0B"/>
    <w:rsid w:val="00744844"/>
    <w:rsid w:val="007561C6"/>
    <w:rsid w:val="007B0D64"/>
    <w:rsid w:val="007C14E5"/>
    <w:rsid w:val="007C370C"/>
    <w:rsid w:val="007C5CFB"/>
    <w:rsid w:val="007D548F"/>
    <w:rsid w:val="007E562A"/>
    <w:rsid w:val="008011DD"/>
    <w:rsid w:val="00812FA6"/>
    <w:rsid w:val="00827AFB"/>
    <w:rsid w:val="00873AE7"/>
    <w:rsid w:val="0088568B"/>
    <w:rsid w:val="00891DFF"/>
    <w:rsid w:val="008A173A"/>
    <w:rsid w:val="008D3230"/>
    <w:rsid w:val="008D5F83"/>
    <w:rsid w:val="008E75AC"/>
    <w:rsid w:val="009006AF"/>
    <w:rsid w:val="009413B8"/>
    <w:rsid w:val="00951109"/>
    <w:rsid w:val="009757E3"/>
    <w:rsid w:val="00996C86"/>
    <w:rsid w:val="009B545E"/>
    <w:rsid w:val="009C0ABF"/>
    <w:rsid w:val="009D34B6"/>
    <w:rsid w:val="009E1678"/>
    <w:rsid w:val="00A068F1"/>
    <w:rsid w:val="00A50521"/>
    <w:rsid w:val="00AB5674"/>
    <w:rsid w:val="00AE6740"/>
    <w:rsid w:val="00B046B2"/>
    <w:rsid w:val="00B17E31"/>
    <w:rsid w:val="00B20A49"/>
    <w:rsid w:val="00BA7AF4"/>
    <w:rsid w:val="00C56FE3"/>
    <w:rsid w:val="00C83498"/>
    <w:rsid w:val="00CD47F1"/>
    <w:rsid w:val="00D47EF2"/>
    <w:rsid w:val="00D52999"/>
    <w:rsid w:val="00D56015"/>
    <w:rsid w:val="00D658FF"/>
    <w:rsid w:val="00D67FE9"/>
    <w:rsid w:val="00D7409F"/>
    <w:rsid w:val="00D7605A"/>
    <w:rsid w:val="00DB18A7"/>
    <w:rsid w:val="00DD053A"/>
    <w:rsid w:val="00E24F39"/>
    <w:rsid w:val="00E56B3C"/>
    <w:rsid w:val="00E704B2"/>
    <w:rsid w:val="00EA4B6E"/>
    <w:rsid w:val="00EE361A"/>
    <w:rsid w:val="00EF6E0E"/>
    <w:rsid w:val="00F24A3E"/>
    <w:rsid w:val="00F40180"/>
    <w:rsid w:val="00F76A9D"/>
    <w:rsid w:val="00F82325"/>
    <w:rsid w:val="00F84D32"/>
    <w:rsid w:val="00FC37E7"/>
    <w:rsid w:val="00FD2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1B052"/>
  <w15:docId w15:val="{0D50C158-B07F-4248-ADF8-119A27C1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7F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5674"/>
    <w:pPr>
      <w:spacing w:after="0" w:line="240" w:lineRule="auto"/>
    </w:pPr>
  </w:style>
  <w:style w:type="character" w:customStyle="1" w:styleId="apple-converted-space">
    <w:name w:val="apple-converted-space"/>
    <w:basedOn w:val="DefaultParagraphFont"/>
    <w:rsid w:val="00E56B3C"/>
  </w:style>
  <w:style w:type="character" w:styleId="Emphasis">
    <w:name w:val="Emphasis"/>
    <w:basedOn w:val="DefaultParagraphFont"/>
    <w:uiPriority w:val="20"/>
    <w:qFormat/>
    <w:rsid w:val="00E56B3C"/>
    <w:rPr>
      <w:i/>
      <w:iCs/>
    </w:rPr>
  </w:style>
  <w:style w:type="character" w:styleId="CommentReference">
    <w:name w:val="annotation reference"/>
    <w:basedOn w:val="DefaultParagraphFont"/>
    <w:uiPriority w:val="99"/>
    <w:semiHidden/>
    <w:unhideWhenUsed/>
    <w:rsid w:val="00827AFB"/>
    <w:rPr>
      <w:sz w:val="16"/>
      <w:szCs w:val="16"/>
    </w:rPr>
  </w:style>
  <w:style w:type="paragraph" w:styleId="CommentText">
    <w:name w:val="annotation text"/>
    <w:basedOn w:val="Normal"/>
    <w:link w:val="CommentTextChar"/>
    <w:uiPriority w:val="99"/>
    <w:semiHidden/>
    <w:unhideWhenUsed/>
    <w:rsid w:val="00827AFB"/>
    <w:rPr>
      <w:sz w:val="20"/>
      <w:szCs w:val="20"/>
    </w:rPr>
  </w:style>
  <w:style w:type="character" w:customStyle="1" w:styleId="CommentTextChar">
    <w:name w:val="Comment Text Char"/>
    <w:basedOn w:val="DefaultParagraphFont"/>
    <w:link w:val="CommentText"/>
    <w:uiPriority w:val="99"/>
    <w:semiHidden/>
    <w:rsid w:val="00827AFB"/>
    <w:rPr>
      <w:rFonts w:ascii="Calibri" w:hAnsi="Calibri" w:cs="Calibri"/>
      <w:sz w:val="20"/>
      <w:szCs w:val="20"/>
    </w:rPr>
  </w:style>
  <w:style w:type="paragraph" w:styleId="BalloonText">
    <w:name w:val="Balloon Text"/>
    <w:basedOn w:val="Normal"/>
    <w:link w:val="BalloonTextChar"/>
    <w:uiPriority w:val="99"/>
    <w:semiHidden/>
    <w:unhideWhenUsed/>
    <w:rsid w:val="00827AFB"/>
    <w:rPr>
      <w:rFonts w:ascii="Tahoma" w:hAnsi="Tahoma" w:cs="Tahoma"/>
      <w:sz w:val="16"/>
      <w:szCs w:val="16"/>
    </w:rPr>
  </w:style>
  <w:style w:type="character" w:customStyle="1" w:styleId="BalloonTextChar">
    <w:name w:val="Balloon Text Char"/>
    <w:basedOn w:val="DefaultParagraphFont"/>
    <w:link w:val="BalloonText"/>
    <w:uiPriority w:val="99"/>
    <w:semiHidden/>
    <w:rsid w:val="00827AFB"/>
    <w:rPr>
      <w:rFonts w:ascii="Tahoma" w:hAnsi="Tahoma" w:cs="Tahoma"/>
      <w:sz w:val="16"/>
      <w:szCs w:val="16"/>
    </w:rPr>
  </w:style>
  <w:style w:type="paragraph" w:styleId="Header">
    <w:name w:val="header"/>
    <w:basedOn w:val="Normal"/>
    <w:link w:val="HeaderChar"/>
    <w:uiPriority w:val="99"/>
    <w:unhideWhenUsed/>
    <w:rsid w:val="006548F7"/>
    <w:pPr>
      <w:tabs>
        <w:tab w:val="center" w:pos="4680"/>
        <w:tab w:val="right" w:pos="9360"/>
      </w:tabs>
    </w:pPr>
  </w:style>
  <w:style w:type="character" w:customStyle="1" w:styleId="HeaderChar">
    <w:name w:val="Header Char"/>
    <w:basedOn w:val="DefaultParagraphFont"/>
    <w:link w:val="Header"/>
    <w:uiPriority w:val="99"/>
    <w:rsid w:val="006548F7"/>
    <w:rPr>
      <w:rFonts w:ascii="Calibri" w:hAnsi="Calibri" w:cs="Calibri"/>
    </w:rPr>
  </w:style>
  <w:style w:type="paragraph" w:styleId="Footer">
    <w:name w:val="footer"/>
    <w:basedOn w:val="Normal"/>
    <w:link w:val="FooterChar"/>
    <w:uiPriority w:val="99"/>
    <w:unhideWhenUsed/>
    <w:rsid w:val="006548F7"/>
    <w:pPr>
      <w:tabs>
        <w:tab w:val="center" w:pos="4680"/>
        <w:tab w:val="right" w:pos="9360"/>
      </w:tabs>
    </w:pPr>
  </w:style>
  <w:style w:type="character" w:customStyle="1" w:styleId="FooterChar">
    <w:name w:val="Footer Char"/>
    <w:basedOn w:val="DefaultParagraphFont"/>
    <w:link w:val="Footer"/>
    <w:uiPriority w:val="99"/>
    <w:rsid w:val="006548F7"/>
    <w:rPr>
      <w:rFonts w:ascii="Calibri" w:hAnsi="Calibri" w:cs="Calibri"/>
    </w:rPr>
  </w:style>
  <w:style w:type="character" w:styleId="Hyperlink">
    <w:name w:val="Hyperlink"/>
    <w:basedOn w:val="DefaultParagraphFont"/>
    <w:uiPriority w:val="99"/>
    <w:unhideWhenUsed/>
    <w:rsid w:val="00AE6740"/>
    <w:rPr>
      <w:color w:val="0000FF" w:themeColor="hyperlink"/>
      <w:u w:val="single"/>
    </w:rPr>
  </w:style>
  <w:style w:type="character" w:styleId="UnresolvedMention">
    <w:name w:val="Unresolved Mention"/>
    <w:basedOn w:val="DefaultParagraphFont"/>
    <w:uiPriority w:val="99"/>
    <w:semiHidden/>
    <w:unhideWhenUsed/>
    <w:rsid w:val="009757E3"/>
    <w:rPr>
      <w:color w:val="808080"/>
      <w:shd w:val="clear" w:color="auto" w:fill="E6E6E6"/>
    </w:rPr>
  </w:style>
  <w:style w:type="paragraph" w:customStyle="1" w:styleId="Default">
    <w:name w:val="Default"/>
    <w:rsid w:val="009757E3"/>
    <w:pPr>
      <w:autoSpaceDE w:val="0"/>
      <w:autoSpaceDN w:val="0"/>
      <w:adjustRightInd w:val="0"/>
      <w:spacing w:after="0" w:line="240" w:lineRule="auto"/>
    </w:pPr>
    <w:rPr>
      <w:rFonts w:ascii="Avenir LT Std 55 Roman" w:hAnsi="Avenir LT Std 55 Roman" w:cs="Avenir LT Std 55 Roman"/>
      <w:color w:val="000000"/>
      <w:sz w:val="24"/>
      <w:szCs w:val="24"/>
    </w:rPr>
  </w:style>
  <w:style w:type="character" w:customStyle="1" w:styleId="A3">
    <w:name w:val="A3"/>
    <w:uiPriority w:val="99"/>
    <w:rsid w:val="009757E3"/>
    <w:rPr>
      <w:rFonts w:cs="Avenir LT Std 55 Roman"/>
      <w:b/>
      <w:bCs/>
      <w:color w:val="006FCD"/>
      <w:sz w:val="21"/>
      <w:szCs w:val="21"/>
    </w:rPr>
  </w:style>
  <w:style w:type="character" w:styleId="FollowedHyperlink">
    <w:name w:val="FollowedHyperlink"/>
    <w:basedOn w:val="DefaultParagraphFont"/>
    <w:uiPriority w:val="99"/>
    <w:semiHidden/>
    <w:unhideWhenUsed/>
    <w:rsid w:val="001962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01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mazingthingspodcast.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unitedformedicalresearch.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garman@hudsonlake.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nitedformedicalresearch.com/state-by-state/" TargetMode="External"/><Relationship Id="rId4" Type="http://schemas.openxmlformats.org/officeDocument/2006/relationships/webSettings" Target="webSettings.xml"/><Relationship Id="rId9" Type="http://schemas.openxmlformats.org/officeDocument/2006/relationships/hyperlink" Target="http://www.unitedformedicalresearch.com/wp-content/uploads/2019/03/NIHs-Role-in-Sustaining-the-US-Economy-2019-Update-FINAL.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76ECA-6A9E-4216-9D48-E2EFD44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Garman Kranias</dc:creator>
  <cp:lastModifiedBy>Sue Garman</cp:lastModifiedBy>
  <cp:revision>3</cp:revision>
  <cp:lastPrinted>2019-03-27T20:30:00Z</cp:lastPrinted>
  <dcterms:created xsi:type="dcterms:W3CDTF">2019-04-01T13:29:00Z</dcterms:created>
  <dcterms:modified xsi:type="dcterms:W3CDTF">2019-04-01T13:30:00Z</dcterms:modified>
</cp:coreProperties>
</file>